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53" w:rsidRDefault="00AD0C53"/>
    <w:p w:rsidR="006D3A1A" w:rsidRDefault="006D3A1A"/>
    <w:p w:rsidR="006D3A1A" w:rsidRDefault="006D3A1A"/>
    <w:p w:rsidR="006D3A1A" w:rsidRPr="00C0590B" w:rsidRDefault="00292F5D" w:rsidP="00C0590B">
      <w:pPr>
        <w:jc w:val="center"/>
        <w:rPr>
          <w:b/>
          <w:sz w:val="36"/>
        </w:rPr>
      </w:pPr>
      <w:r w:rsidRPr="00C0590B">
        <w:rPr>
          <w:b/>
          <w:sz w:val="36"/>
        </w:rPr>
        <w:t xml:space="preserve">Evropský institut asistivních technologií, </w:t>
      </w:r>
      <w:proofErr w:type="spellStart"/>
      <w:r w:rsidRPr="00C0590B">
        <w:rPr>
          <w:b/>
          <w:sz w:val="36"/>
        </w:rPr>
        <w:t>z.ú</w:t>
      </w:r>
      <w:proofErr w:type="spellEnd"/>
      <w:r w:rsidRPr="00C0590B">
        <w:rPr>
          <w:b/>
          <w:sz w:val="36"/>
        </w:rPr>
        <w:t>.</w:t>
      </w:r>
    </w:p>
    <w:p w:rsidR="00292F5D" w:rsidRPr="00361C88" w:rsidRDefault="00292F5D" w:rsidP="006D3A1A"/>
    <w:p w:rsidR="006D3A1A" w:rsidRDefault="006D3A1A" w:rsidP="006D3A1A">
      <w:pPr>
        <w:pStyle w:val="Nzev"/>
        <w:jc w:val="right"/>
        <w:rPr>
          <w:sz w:val="96"/>
          <w:szCs w:val="96"/>
        </w:rPr>
      </w:pPr>
      <w:r w:rsidRPr="00361C88">
        <w:rPr>
          <w:sz w:val="96"/>
          <w:szCs w:val="96"/>
        </w:rPr>
        <w:t>VÝROČNÍ ZPRÁVA</w:t>
      </w:r>
      <w:r>
        <w:rPr>
          <w:sz w:val="96"/>
          <w:szCs w:val="96"/>
        </w:rPr>
        <w:br/>
        <w:t>201</w:t>
      </w:r>
      <w:r w:rsidR="00324F76">
        <w:rPr>
          <w:sz w:val="96"/>
          <w:szCs w:val="96"/>
        </w:rPr>
        <w:t>8</w:t>
      </w:r>
    </w:p>
    <w:p w:rsidR="004471C8" w:rsidRDefault="00C0590B" w:rsidP="00C0590B">
      <w:pPr>
        <w:jc w:val="center"/>
      </w:pPr>
      <w:r>
        <w:rPr>
          <w:noProof/>
        </w:rPr>
        <w:drawing>
          <wp:inline distT="0" distB="0" distL="0" distR="0">
            <wp:extent cx="5760720" cy="4012815"/>
            <wp:effectExtent l="0" t="0" r="0" b="6985"/>
            <wp:docPr id="7" name="Obrázek 7" descr="C:\Users\JohnyDEE\Desktop\Eiat Eshop\Nová složka\EI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yDEE\Desktop\Eiat Eshop\Nová složka\EIA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A1A" w:rsidRDefault="006D3A1A">
      <w:pPr>
        <w:spacing w:after="160" w:line="259" w:lineRule="auto"/>
        <w:jc w:val="left"/>
      </w:pPr>
      <w:r>
        <w:br w:type="page"/>
      </w:r>
    </w:p>
    <w:p w:rsidR="00AD0C53" w:rsidRDefault="00AD0C53">
      <w:bookmarkStart w:id="0" w:name="_GoBack"/>
      <w:bookmarkEnd w:id="0"/>
    </w:p>
    <w:p w:rsidR="006331BD" w:rsidRDefault="006331BD"/>
    <w:sdt>
      <w:sdtPr>
        <w:id w:val="-1357884388"/>
        <w:docPartObj>
          <w:docPartGallery w:val="Table of Contents"/>
          <w:docPartUnique/>
        </w:docPartObj>
      </w:sdtPr>
      <w:sdtEndPr>
        <w:rPr>
          <w:rFonts w:ascii="Calibri" w:eastAsia="Times New Roman" w:hAnsi="Calibri" w:cs="Times New Roman"/>
          <w:b/>
          <w:bCs/>
          <w:color w:val="auto"/>
          <w:sz w:val="22"/>
          <w:szCs w:val="22"/>
        </w:rPr>
      </w:sdtEndPr>
      <w:sdtContent>
        <w:p w:rsidR="00574645" w:rsidRDefault="00574645">
          <w:pPr>
            <w:pStyle w:val="Nadpisobsahu"/>
          </w:pPr>
          <w:r>
            <w:t>Obsah</w:t>
          </w:r>
        </w:p>
        <w:p w:rsidR="00574645" w:rsidRDefault="00574645">
          <w:pPr>
            <w:pStyle w:val="Obsah2"/>
            <w:tabs>
              <w:tab w:val="left" w:pos="66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2809255" w:history="1">
            <w:r w:rsidRPr="002F5DD9">
              <w:rPr>
                <w:rStyle w:val="Hypertextovodkaz"/>
                <w:noProof/>
              </w:rPr>
              <w:t>1.</w:t>
            </w:r>
            <w:r>
              <w:rPr>
                <w:noProof/>
              </w:rPr>
              <w:tab/>
            </w:r>
            <w:r w:rsidRPr="002F5DD9">
              <w:rPr>
                <w:rStyle w:val="Hypertextovodkaz"/>
                <w:noProof/>
              </w:rPr>
              <w:t>Základní údaje o společnosti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_Toc22809255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4645" w:rsidRDefault="00574645">
          <w:pPr>
            <w:pStyle w:val="Obsah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22809256" w:history="1">
            <w:r w:rsidRPr="002F5DD9">
              <w:rPr>
                <w:rStyle w:val="Hypertextovodkaz"/>
                <w:noProof/>
              </w:rPr>
              <w:t>2.</w:t>
            </w:r>
            <w:r>
              <w:rPr>
                <w:noProof/>
              </w:rPr>
              <w:tab/>
            </w:r>
            <w:r w:rsidRPr="002F5DD9">
              <w:rPr>
                <w:rStyle w:val="Hypertextovodkaz"/>
                <w:noProof/>
              </w:rPr>
              <w:t>Druh obecně prospěšných služeb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_Toc22809256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4645" w:rsidRDefault="00574645">
          <w:pPr>
            <w:pStyle w:val="Obsah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22809257" w:history="1">
            <w:r w:rsidRPr="002F5DD9">
              <w:rPr>
                <w:rStyle w:val="Hypertextovodkaz"/>
                <w:noProof/>
              </w:rPr>
              <w:t>3.</w:t>
            </w:r>
            <w:r>
              <w:rPr>
                <w:noProof/>
              </w:rPr>
              <w:tab/>
            </w:r>
            <w:r w:rsidRPr="002F5DD9">
              <w:rPr>
                <w:rStyle w:val="Hypertextovodkaz"/>
                <w:noProof/>
              </w:rPr>
              <w:t>Poslání, cíle a historie ústavu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_Toc22809257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4645" w:rsidRDefault="00574645">
          <w:pPr>
            <w:pStyle w:val="Obsah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22809258" w:history="1">
            <w:r w:rsidRPr="002F5DD9">
              <w:rPr>
                <w:rStyle w:val="Hypertextovodkaz"/>
                <w:noProof/>
              </w:rPr>
              <w:t>4.</w:t>
            </w:r>
            <w:r>
              <w:rPr>
                <w:noProof/>
              </w:rPr>
              <w:tab/>
            </w:r>
            <w:r w:rsidRPr="002F5DD9">
              <w:rPr>
                <w:rStyle w:val="Hypertextovodkaz"/>
                <w:noProof/>
              </w:rPr>
              <w:t>Akce pořádané EIAT v roce 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_Toc22809258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4645" w:rsidRDefault="00574645">
          <w:pPr>
            <w:pStyle w:val="Obsah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22809259" w:history="1">
            <w:r w:rsidRPr="002F5DD9">
              <w:rPr>
                <w:rStyle w:val="Hypertextovodkaz"/>
                <w:noProof/>
              </w:rPr>
              <w:t>5.</w:t>
            </w:r>
            <w:r>
              <w:rPr>
                <w:noProof/>
              </w:rPr>
              <w:tab/>
            </w:r>
            <w:r w:rsidRPr="002F5DD9">
              <w:rPr>
                <w:rStyle w:val="Hypertextovodkaz"/>
                <w:noProof/>
              </w:rPr>
              <w:t>Zaměstnanci EIAT v roce 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_Toc22809259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4645" w:rsidRDefault="00574645">
          <w:pPr>
            <w:pStyle w:val="Obsah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22809260" w:history="1">
            <w:r w:rsidRPr="002F5DD9">
              <w:rPr>
                <w:rStyle w:val="Hypertextovodkaz"/>
                <w:noProof/>
              </w:rPr>
              <w:t>6.</w:t>
            </w:r>
            <w:r>
              <w:rPr>
                <w:noProof/>
              </w:rPr>
              <w:tab/>
            </w:r>
            <w:r w:rsidRPr="002F5DD9">
              <w:rPr>
                <w:rStyle w:val="Hypertextovodkaz"/>
                <w:noProof/>
              </w:rPr>
              <w:t>Změny zakládací listiny a orgánů společnosti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_Toc22809260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4645" w:rsidRDefault="00574645">
          <w:pPr>
            <w:pStyle w:val="Obsah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22809261" w:history="1">
            <w:r w:rsidRPr="002F5DD9">
              <w:rPr>
                <w:rStyle w:val="Hypertextovodkaz"/>
                <w:noProof/>
              </w:rPr>
              <w:t>7.</w:t>
            </w:r>
            <w:r>
              <w:rPr>
                <w:noProof/>
              </w:rPr>
              <w:tab/>
            </w:r>
            <w:r w:rsidRPr="002F5DD9">
              <w:rPr>
                <w:rStyle w:val="Hypertextovodkaz"/>
                <w:noProof/>
              </w:rPr>
              <w:t>Zpráva o hospodaření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_Toc22809261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4645" w:rsidRDefault="00574645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22809262" w:history="1">
            <w:r w:rsidRPr="002F5DD9">
              <w:rPr>
                <w:rStyle w:val="Hypertextovodkaz"/>
                <w:noProof/>
              </w:rPr>
              <w:t>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_Toc22809262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4645" w:rsidRDefault="00574645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22809263" w:history="1">
            <w:r w:rsidRPr="002F5DD9">
              <w:rPr>
                <w:rStyle w:val="Hypertextovodkaz"/>
                <w:noProof/>
              </w:rPr>
              <w:t>A.</w:t>
            </w:r>
            <w:r>
              <w:rPr>
                <w:noProof/>
              </w:rPr>
              <w:tab/>
            </w:r>
            <w:r w:rsidRPr="002F5DD9">
              <w:rPr>
                <w:rStyle w:val="Hypertextovodkaz"/>
                <w:noProof/>
              </w:rPr>
              <w:t>Rozvaha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_Toc22809263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4645" w:rsidRDefault="00574645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22809264" w:history="1">
            <w:r w:rsidRPr="002F5DD9">
              <w:rPr>
                <w:rStyle w:val="Hypertextovodkaz"/>
                <w:noProof/>
              </w:rPr>
              <w:t>B.</w:t>
            </w:r>
            <w:r>
              <w:rPr>
                <w:noProof/>
              </w:rPr>
              <w:tab/>
            </w:r>
            <w:r w:rsidRPr="002F5DD9">
              <w:rPr>
                <w:rStyle w:val="Hypertextovodkaz"/>
                <w:noProof/>
              </w:rPr>
              <w:t>Výkaz zisku a ztráty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_Toc22809264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4645" w:rsidRDefault="00574645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22809265" w:history="1">
            <w:r w:rsidRPr="002F5DD9">
              <w:rPr>
                <w:rStyle w:val="Hypertextovodkaz"/>
                <w:noProof/>
              </w:rPr>
              <w:t>C.</w:t>
            </w:r>
            <w:r>
              <w:rPr>
                <w:noProof/>
              </w:rPr>
              <w:tab/>
            </w:r>
            <w:r w:rsidRPr="002F5DD9">
              <w:rPr>
                <w:rStyle w:val="Hypertextovodkaz"/>
                <w:noProof/>
              </w:rPr>
              <w:t>Příloha v účetní závěrce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_Toc22809265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4645" w:rsidRDefault="00574645">
          <w:r>
            <w:rPr>
              <w:b/>
              <w:bCs/>
            </w:rPr>
            <w:fldChar w:fldCharType="end"/>
          </w:r>
        </w:p>
      </w:sdtContent>
    </w:sdt>
    <w:p w:rsidR="00F9221D" w:rsidRDefault="00F9221D">
      <w:pPr>
        <w:spacing w:after="160" w:line="259" w:lineRule="auto"/>
        <w:jc w:val="left"/>
      </w:pPr>
      <w:r>
        <w:br w:type="page"/>
      </w:r>
    </w:p>
    <w:p w:rsidR="00F9221D" w:rsidRDefault="00F9221D"/>
    <w:p w:rsidR="00BA0269" w:rsidRDefault="00BA0269" w:rsidP="00C62839">
      <w:pPr>
        <w:pStyle w:val="Nadpis2"/>
      </w:pPr>
      <w:bookmarkStart w:id="1" w:name="_Toc516493350"/>
      <w:bookmarkStart w:id="2" w:name="_Toc22809255"/>
      <w:r w:rsidRPr="00361C88">
        <w:t>Základní údaje o společnosti</w:t>
      </w:r>
      <w:bookmarkEnd w:id="1"/>
      <w:bookmarkEnd w:id="2"/>
    </w:p>
    <w:p w:rsidR="00FC4BBD" w:rsidRDefault="00FC4BBD" w:rsidP="00BA0269">
      <w:pPr>
        <w:tabs>
          <w:tab w:val="left" w:pos="2835"/>
        </w:tabs>
      </w:pPr>
    </w:p>
    <w:p w:rsidR="00BA0269" w:rsidRPr="00361C88" w:rsidRDefault="00BA0269" w:rsidP="00BA0269">
      <w:pPr>
        <w:tabs>
          <w:tab w:val="left" w:pos="2835"/>
        </w:tabs>
      </w:pPr>
      <w:r>
        <w:t>Název společnosti:</w:t>
      </w:r>
      <w:r>
        <w:tab/>
      </w:r>
      <w:r w:rsidR="00565179">
        <w:t>Evropský institut asistivních technologií, z.ú.</w:t>
      </w:r>
    </w:p>
    <w:p w:rsidR="00BA0269" w:rsidRPr="00361C88" w:rsidRDefault="00BA0269" w:rsidP="00BA0269">
      <w:pPr>
        <w:tabs>
          <w:tab w:val="left" w:pos="2835"/>
        </w:tabs>
      </w:pPr>
      <w:r>
        <w:t>Právní forma:</w:t>
      </w:r>
      <w:r>
        <w:tab/>
      </w:r>
      <w:r w:rsidR="00565179">
        <w:t>Zapsaný ústav</w:t>
      </w:r>
    </w:p>
    <w:p w:rsidR="00BA0269" w:rsidRPr="00361C88" w:rsidRDefault="00BA0269" w:rsidP="00BA0269">
      <w:pPr>
        <w:tabs>
          <w:tab w:val="left" w:pos="2835"/>
        </w:tabs>
      </w:pPr>
      <w:r>
        <w:t>Sídlo:</w:t>
      </w:r>
      <w:r>
        <w:tab/>
      </w:r>
      <w:r w:rsidR="00BF3144" w:rsidRPr="00BF3144">
        <w:t>Stará Kysibelská 602/45, 360 09 Karlovy Vary</w:t>
      </w:r>
    </w:p>
    <w:p w:rsidR="00BA0269" w:rsidRPr="00361C88" w:rsidRDefault="00BA0269" w:rsidP="00BA0269">
      <w:pPr>
        <w:tabs>
          <w:tab w:val="left" w:pos="2835"/>
        </w:tabs>
      </w:pPr>
      <w:r>
        <w:t>Telefon:</w:t>
      </w:r>
      <w:r>
        <w:tab/>
      </w:r>
      <w:r w:rsidR="00BF3144">
        <w:t>777 722 777</w:t>
      </w:r>
    </w:p>
    <w:p w:rsidR="00BA0269" w:rsidRPr="00361C88" w:rsidRDefault="00BA0269" w:rsidP="00BA0269">
      <w:pPr>
        <w:tabs>
          <w:tab w:val="left" w:pos="2835"/>
        </w:tabs>
      </w:pPr>
      <w:r>
        <w:t>E</w:t>
      </w:r>
      <w:r w:rsidRPr="00361C88">
        <w:t>-mail:</w:t>
      </w:r>
      <w:r w:rsidR="00BF3144">
        <w:tab/>
        <w:t>info@eiat.cz</w:t>
      </w:r>
      <w:r w:rsidR="00BF3144" w:rsidRPr="00361C88">
        <w:t xml:space="preserve"> </w:t>
      </w:r>
    </w:p>
    <w:p w:rsidR="00BA0269" w:rsidRPr="00361C88" w:rsidRDefault="00BA0269" w:rsidP="00BA0269">
      <w:pPr>
        <w:tabs>
          <w:tab w:val="left" w:pos="2835"/>
        </w:tabs>
      </w:pPr>
      <w:r>
        <w:t>IČ:</w:t>
      </w:r>
      <w:r>
        <w:tab/>
      </w:r>
      <w:r w:rsidR="006234E9" w:rsidRPr="006234E9">
        <w:t>07028776</w:t>
      </w:r>
    </w:p>
    <w:p w:rsidR="00BA0269" w:rsidRPr="00361C88" w:rsidRDefault="00BA0269" w:rsidP="00BA0269">
      <w:pPr>
        <w:tabs>
          <w:tab w:val="left" w:pos="2835"/>
        </w:tabs>
      </w:pPr>
      <w:r>
        <w:t>DIČ:</w:t>
      </w:r>
      <w:r>
        <w:tab/>
      </w:r>
      <w:r w:rsidR="00D75995">
        <w:t>CZ07028776</w:t>
      </w:r>
    </w:p>
    <w:p w:rsidR="000E51B6" w:rsidRDefault="000E51B6" w:rsidP="00BA0269">
      <w:pPr>
        <w:tabs>
          <w:tab w:val="left" w:pos="2835"/>
        </w:tabs>
      </w:pPr>
      <w:r>
        <w:t>S</w:t>
      </w:r>
      <w:r w:rsidRPr="000E51B6">
        <w:t>pis</w:t>
      </w:r>
      <w:r>
        <w:t xml:space="preserve">ová </w:t>
      </w:r>
      <w:r w:rsidRPr="000E51B6">
        <w:t>zn</w:t>
      </w:r>
      <w:r>
        <w:t>ačka:</w:t>
      </w:r>
      <w:r>
        <w:tab/>
      </w:r>
      <w:r w:rsidRPr="000E51B6">
        <w:t>U141 u K</w:t>
      </w:r>
      <w:r>
        <w:t>rajského soudu</w:t>
      </w:r>
      <w:r w:rsidRPr="000E51B6">
        <w:t xml:space="preserve"> v Plzni</w:t>
      </w:r>
    </w:p>
    <w:p w:rsidR="00BA0269" w:rsidRDefault="00BA0269" w:rsidP="00BA0269">
      <w:pPr>
        <w:tabs>
          <w:tab w:val="left" w:pos="2835"/>
        </w:tabs>
      </w:pPr>
      <w:r>
        <w:t>Bankovní spojení:</w:t>
      </w:r>
      <w:r>
        <w:tab/>
      </w:r>
      <w:r w:rsidR="002502C9">
        <w:t>Československá obchodní banka</w:t>
      </w:r>
    </w:p>
    <w:p w:rsidR="00BA0269" w:rsidRPr="00361C88" w:rsidRDefault="00BA0269" w:rsidP="00BA0269">
      <w:pPr>
        <w:tabs>
          <w:tab w:val="left" w:pos="2835"/>
        </w:tabs>
      </w:pPr>
      <w:r>
        <w:t>Číslo účtu:</w:t>
      </w:r>
      <w:r>
        <w:tab/>
      </w:r>
      <w:r w:rsidR="0039542B" w:rsidRPr="0039542B">
        <w:t>283661035/0300</w:t>
      </w:r>
    </w:p>
    <w:p w:rsidR="00BA0269" w:rsidRDefault="00BA0269" w:rsidP="00BA0269">
      <w:pPr>
        <w:tabs>
          <w:tab w:val="left" w:pos="2835"/>
        </w:tabs>
      </w:pPr>
      <w:r>
        <w:t>WWW</w:t>
      </w:r>
      <w:r w:rsidRPr="00361C88">
        <w:t xml:space="preserve"> stránky:</w:t>
      </w:r>
      <w:r>
        <w:tab/>
      </w:r>
      <w:hyperlink r:id="rId9" w:history="1">
        <w:r w:rsidR="000A3CFE" w:rsidRPr="005E2936">
          <w:rPr>
            <w:rStyle w:val="Hypertextovodkaz"/>
          </w:rPr>
          <w:t>http://eiat.cz/</w:t>
        </w:r>
      </w:hyperlink>
      <w:r w:rsidR="000A3CFE">
        <w:t xml:space="preserve"> </w:t>
      </w:r>
    </w:p>
    <w:p w:rsidR="00BA0269" w:rsidRPr="00361C88" w:rsidRDefault="00BA0269" w:rsidP="00BA0269">
      <w:pPr>
        <w:tabs>
          <w:tab w:val="left" w:pos="2835"/>
        </w:tabs>
      </w:pPr>
      <w:r w:rsidRPr="00361C88">
        <w:t>Statutá</w:t>
      </w:r>
      <w:r>
        <w:t>rní orgán:</w:t>
      </w:r>
      <w:r>
        <w:tab/>
      </w:r>
      <w:r w:rsidR="000A3CFE">
        <w:t>Ing. Iva Šmrhová ml.</w:t>
      </w:r>
      <w:r w:rsidR="002502C9">
        <w:t>, ředitelka</w:t>
      </w:r>
    </w:p>
    <w:p w:rsidR="00BA0269" w:rsidRDefault="00BA0269" w:rsidP="00BA0269">
      <w:pPr>
        <w:tabs>
          <w:tab w:val="left" w:pos="2835"/>
        </w:tabs>
      </w:pPr>
      <w:r>
        <w:t>Zakladatel:</w:t>
      </w:r>
      <w:r>
        <w:tab/>
      </w:r>
      <w:r w:rsidR="000A3CFE">
        <w:t>e-Inkluze, z.</w:t>
      </w:r>
      <w:r w:rsidR="00EB45F0">
        <w:t xml:space="preserve"> </w:t>
      </w:r>
      <w:r w:rsidR="000A3CFE">
        <w:t xml:space="preserve">s. </w:t>
      </w:r>
    </w:p>
    <w:p w:rsidR="00BA0269" w:rsidRDefault="00BA0269" w:rsidP="00EB45F0">
      <w:pPr>
        <w:tabs>
          <w:tab w:val="left" w:pos="2835"/>
        </w:tabs>
      </w:pPr>
      <w:r>
        <w:tab/>
      </w:r>
      <w:proofErr w:type="spellStart"/>
      <w:r w:rsidR="00EB45F0">
        <w:t>Hřebečská</w:t>
      </w:r>
      <w:proofErr w:type="spellEnd"/>
      <w:r w:rsidR="00EB45F0">
        <w:t xml:space="preserve"> 2680, 272 01 Kladno</w:t>
      </w:r>
    </w:p>
    <w:p w:rsidR="00BA0269" w:rsidRPr="00361C88" w:rsidRDefault="00BA0269" w:rsidP="00BA0269">
      <w:pPr>
        <w:tabs>
          <w:tab w:val="left" w:pos="2835"/>
        </w:tabs>
      </w:pPr>
      <w:r>
        <w:tab/>
      </w:r>
      <w:r w:rsidRPr="00361C88">
        <w:t xml:space="preserve">IČ: </w:t>
      </w:r>
      <w:r w:rsidR="00EB45F0" w:rsidRPr="00EB45F0">
        <w:t>01627503</w:t>
      </w:r>
    </w:p>
    <w:p w:rsidR="00677429" w:rsidRDefault="00677429" w:rsidP="00BA0269">
      <w:pPr>
        <w:pStyle w:val="Nadpis3"/>
      </w:pPr>
    </w:p>
    <w:p w:rsidR="00BA0269" w:rsidRPr="00361C88" w:rsidRDefault="00BA0269" w:rsidP="00C62839">
      <w:pPr>
        <w:pStyle w:val="Nadpis2"/>
      </w:pPr>
      <w:bookmarkStart w:id="3" w:name="_Toc22809256"/>
      <w:r w:rsidRPr="00361C88">
        <w:t>Druh obecně prospěšných služeb</w:t>
      </w:r>
      <w:bookmarkEnd w:id="3"/>
    </w:p>
    <w:p w:rsidR="006D3A1A" w:rsidRDefault="006D3A1A"/>
    <w:p w:rsidR="00FF424D" w:rsidRDefault="00FF424D" w:rsidP="00FF424D">
      <w:pPr>
        <w:pStyle w:val="Odstavecseseznamem"/>
        <w:spacing w:after="120"/>
        <w:ind w:left="714"/>
      </w:pPr>
      <w:r>
        <w:t>Ústav za účelem popsaným v článku III. Zakládací listiny zejména provádí, zajišťuje a poskytuje tyto činnosti: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>výzkumnou a vědeckou činnost na poli AT, souvisejících služeb a společenských věd včetně základního výzkumu v těchto oblastech</w:t>
      </w:r>
      <w:r w:rsidR="00292F5D">
        <w:t xml:space="preserve"> </w:t>
      </w:r>
      <w:r w:rsidRPr="00C13C07">
        <w:t>s cílem získat nové poznatky a lépe pochopit dané téma</w:t>
      </w:r>
      <w:r>
        <w:t>;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>vývoj AT, a jejich součástívčetně průmyslového výzkumu a experimentálního vývoje;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 w:rsidRPr="00B207D9">
        <w:t xml:space="preserve">šíření výsledků výzkumu na nevýlučném a nediskriminačním základě například prostřednictvím </w:t>
      </w:r>
      <w:r w:rsidRPr="00090DDA">
        <w:t>vzdělávání laické a odborné veřejnosti</w:t>
      </w:r>
      <w:r w:rsidRPr="00B207D9">
        <w:t>, otevřeného přístupu k databázím, otevřených publikací a otevřeného softwaru</w:t>
      </w:r>
      <w:r>
        <w:t xml:space="preserve"> </w:t>
      </w:r>
      <w:r w:rsidRPr="00DF64F3">
        <w:t>včetně aktivit neformálního vzdělávání a</w:t>
      </w:r>
      <w:r>
        <w:t> </w:t>
      </w:r>
      <w:r w:rsidRPr="00DF64F3">
        <w:t>pořádání vzdělávacích a kvalifikačních kurzů</w:t>
      </w:r>
      <w:r w:rsidRPr="00B207D9">
        <w:t>;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lastRenderedPageBreak/>
        <w:t>mimoškolní výchovu a vzdělávání, zajišťování a pořádání kurzů a školení, včetně lektorské činnosti;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>publikační a osvětovou činnost včetně digitalizace dokumentů, zpřístupňování textů a informací lidem se zdravotním a sociálním znevýhodněním;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>vydávání skript, učebnic, informačních bulletinů a dalších materiálů v alternativních formátech přístupných znevýhodněným osobám, např. formou hlasového či digitálního nebo multimediálního záznamu, ve zvětšeném černotisku či v braillském tisku apod.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 xml:space="preserve">poradenskou, konzultační a vzdělávací činnost v oblasti </w:t>
      </w:r>
      <w:r w:rsidRPr="00DF64F3">
        <w:t xml:space="preserve">AT a souvisejících služeb a oborů </w:t>
      </w:r>
      <w:r>
        <w:t>pro zdravotně či sociálně znevýhodněné osoby, seniory a odborníky s těmito skupinami občanů pracující</w:t>
      </w:r>
      <w:r w:rsidRPr="00007512">
        <w:t>, včetně technické pomoci a provozování výpůjčoven AT</w:t>
      </w:r>
      <w:r>
        <w:t xml:space="preserve">; 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 xml:space="preserve">odstraňování architektonických, technologických, informačních a dalších bariér ve školách, na pracovištích a v domácnostech osob se zdravotním nebo sociálním znevýhodněním včetně seniorů; 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>vytváření speciálních pracovních míst pro zdravotně či sociálně znevýhodněné občany a poradenskou činnost s jejich pracovním uplatněním související;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 xml:space="preserve">poskytování sociálních služeb, komplexní rehabilitace a rekvalifikace osobám ohroženým sociálním vyloučením včetně osob se zdravotním znevýhodněním a seniorů; 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>aktivity na ochranu spotřebitelských zájmů uživatelů AT a jejich práv ve smyslu politiky EU;</w:t>
      </w:r>
    </w:p>
    <w:p w:rsidR="00FF424D" w:rsidRDefault="00D75995" w:rsidP="00FF424D">
      <w:pPr>
        <w:pStyle w:val="Odstavecseseznamem"/>
        <w:numPr>
          <w:ilvl w:val="0"/>
          <w:numId w:val="5"/>
        </w:numPr>
        <w:ind w:left="1068"/>
      </w:pPr>
      <w:r>
        <w:t xml:space="preserve">aktivity </w:t>
      </w:r>
      <w:r w:rsidR="00FF424D">
        <w:t>pro podporu dobrovolníků včetně jejich zaškolování, vzdělávání, vysílání a koordinace.</w:t>
      </w:r>
    </w:p>
    <w:p w:rsidR="00FF424D" w:rsidRDefault="00FF424D"/>
    <w:p w:rsidR="00FF424D" w:rsidRDefault="00FF424D" w:rsidP="0088345D">
      <w:pPr>
        <w:pStyle w:val="Nadpis2"/>
      </w:pPr>
      <w:bookmarkStart w:id="4" w:name="_Toc22809257"/>
      <w:r>
        <w:t>Poslání, cíle a historie ústavu</w:t>
      </w:r>
      <w:bookmarkEnd w:id="4"/>
    </w:p>
    <w:p w:rsidR="00FF424D" w:rsidRDefault="00FF424D"/>
    <w:p w:rsidR="00FE27CB" w:rsidRDefault="00CA01D6" w:rsidP="00CA01D6">
      <w:pPr>
        <w:pStyle w:val="Odstavecseseznamem"/>
        <w:spacing w:after="120"/>
      </w:pPr>
      <w:r>
        <w:t xml:space="preserve">Jak stanoví zakládací listina Evropského institutu asistivních technologií, </w:t>
      </w:r>
      <w:r w:rsidR="002929E7">
        <w:t>z.ú.</w:t>
      </w:r>
      <w:r>
        <w:t>, ú</w:t>
      </w:r>
      <w:r w:rsidR="00FE27CB">
        <w:t xml:space="preserve">stav se zakládá za účelem výzkumu, vývoje, rozvoje, poskytování a uplatňování asistivních technologií a dalších </w:t>
      </w:r>
      <w:r w:rsidR="00FE27CB" w:rsidRPr="00D67874">
        <w:t>technologi</w:t>
      </w:r>
      <w:r w:rsidR="00FE27CB">
        <w:t>í</w:t>
      </w:r>
      <w:r w:rsidR="00FE27CB" w:rsidRPr="00D67874">
        <w:t xml:space="preserve"> usnadňující</w:t>
      </w:r>
      <w:r w:rsidR="00FE27CB">
        <w:t>ch</w:t>
      </w:r>
      <w:r w:rsidR="00FE27CB" w:rsidRPr="00D67874">
        <w:t xml:space="preserve"> život osobám ohroženým soc</w:t>
      </w:r>
      <w:r w:rsidR="00FE27CB">
        <w:t xml:space="preserve">iálním </w:t>
      </w:r>
      <w:r w:rsidR="00FE27CB" w:rsidRPr="00D67874">
        <w:t xml:space="preserve">vyloučením </w:t>
      </w:r>
      <w:r w:rsidR="00FE27CB">
        <w:t>včetně seniorů a osob se zdravotním znevýhodněním (dále jen AT) a souvisejících vzdělávacích, sociálních, zdravotních, technických, vědecko-výzkumných, publikačních a dalších procesů a služeb.</w:t>
      </w:r>
    </w:p>
    <w:p w:rsidR="00FF424D" w:rsidRDefault="00FF424D" w:rsidP="00CA01D6">
      <w:pPr>
        <w:pStyle w:val="Odstavecseseznamem"/>
        <w:spacing w:after="120"/>
      </w:pPr>
      <w:r>
        <w:t xml:space="preserve">Posláním a cílem ústavu je </w:t>
      </w:r>
    </w:p>
    <w:p w:rsidR="00FF424D" w:rsidRDefault="00FF424D" w:rsidP="00FF424D">
      <w:pPr>
        <w:pStyle w:val="Odstavecseseznamem"/>
        <w:numPr>
          <w:ilvl w:val="0"/>
          <w:numId w:val="3"/>
        </w:numPr>
        <w:ind w:left="1068"/>
      </w:pPr>
      <w:r w:rsidRPr="00D82CB1">
        <w:t>základní i průmyslový výzkum a experimentální vývoj na poli AT a souvisejících oborů a</w:t>
      </w:r>
      <w:r>
        <w:t> </w:t>
      </w:r>
      <w:r w:rsidRPr="00D82CB1">
        <w:t>služeb,</w:t>
      </w:r>
    </w:p>
    <w:p w:rsidR="00FF424D" w:rsidRDefault="00FF424D" w:rsidP="00FF424D">
      <w:pPr>
        <w:pStyle w:val="Odstavecseseznamem"/>
        <w:numPr>
          <w:ilvl w:val="0"/>
          <w:numId w:val="3"/>
        </w:numPr>
        <w:ind w:left="1068"/>
      </w:pPr>
      <w:r>
        <w:t>transfer technologií, inovací a znalostí směrem k jejich možným výrobcům a spotřebitelům,</w:t>
      </w:r>
    </w:p>
    <w:p w:rsidR="00FF424D" w:rsidRDefault="00FF424D" w:rsidP="00FF424D">
      <w:pPr>
        <w:pStyle w:val="Odstavecseseznamem"/>
        <w:numPr>
          <w:ilvl w:val="0"/>
          <w:numId w:val="3"/>
        </w:numPr>
        <w:ind w:left="1068"/>
      </w:pPr>
      <w:r>
        <w:t xml:space="preserve">veřejné šíření informací mezi odbornou i laickou veřejností, </w:t>
      </w:r>
      <w:r w:rsidRPr="002A4DF5">
        <w:t>a to zejména prostřednictvím výuky a publikační činnosti,</w:t>
      </w:r>
    </w:p>
    <w:p w:rsidR="00FF424D" w:rsidRDefault="00FF424D" w:rsidP="00FF424D">
      <w:pPr>
        <w:pStyle w:val="Odstavecseseznamem"/>
        <w:numPr>
          <w:ilvl w:val="0"/>
          <w:numId w:val="3"/>
        </w:numPr>
        <w:ind w:left="1068"/>
      </w:pPr>
      <w:r>
        <w:t>pomoc institucím, neziskovým organizacím</w:t>
      </w:r>
      <w:r w:rsidR="00621224">
        <w:t xml:space="preserve"> </w:t>
      </w:r>
      <w:r>
        <w:t>a firmám při adaptaci a aplikaci AT a souvisejících procesů a služeb,</w:t>
      </w:r>
    </w:p>
    <w:p w:rsidR="00FF424D" w:rsidRDefault="00FF424D" w:rsidP="00FF424D">
      <w:pPr>
        <w:pStyle w:val="Odstavecseseznamem"/>
        <w:numPr>
          <w:ilvl w:val="0"/>
          <w:numId w:val="3"/>
        </w:numPr>
        <w:ind w:left="1068"/>
      </w:pPr>
      <w:r>
        <w:t>pomoc konkrétním občanům se zdravotním či sociálním znevýhodněním při dosahování maximální míry jejich samostatnosti a nezávislosti vedoucí a napomáhající k jejich</w:t>
      </w:r>
      <w:r w:rsidR="00621224">
        <w:t xml:space="preserve"> </w:t>
      </w:r>
      <w:r>
        <w:t>začlenění do společnosti i k jejich pracovnímu uplatnění.</w:t>
      </w:r>
    </w:p>
    <w:p w:rsidR="004B1DFE" w:rsidRDefault="0077526A">
      <w:r>
        <w:lastRenderedPageBreak/>
        <w:t xml:space="preserve">Historie </w:t>
      </w:r>
      <w:r w:rsidR="00C95B98">
        <w:t>Evropsk</w:t>
      </w:r>
      <w:r>
        <w:t>ého</w:t>
      </w:r>
      <w:r w:rsidR="00C95B98">
        <w:t xml:space="preserve"> institut</w:t>
      </w:r>
      <w:r>
        <w:t>u</w:t>
      </w:r>
      <w:r w:rsidR="00C95B98">
        <w:t xml:space="preserve"> asistivních technologií</w:t>
      </w:r>
      <w:r>
        <w:t xml:space="preserve"> je zatím velmi krátká, neboť </w:t>
      </w:r>
      <w:r w:rsidR="00E95826">
        <w:t xml:space="preserve">de jure </w:t>
      </w:r>
      <w:r w:rsidR="009C3956">
        <w:t xml:space="preserve">vzniknul </w:t>
      </w:r>
      <w:r>
        <w:t xml:space="preserve">v průběhu roku 2018. </w:t>
      </w:r>
      <w:r w:rsidR="004B1DFE">
        <w:t>O vzniku EIAT rozhodl jeho zakladatel spolek e-Inkluze, z.s. 24.1.2018, kdy schválil zakládací listinu ústavu a jmenoval jeho první správní radu, revizora</w:t>
      </w:r>
      <w:r>
        <w:t xml:space="preserve"> </w:t>
      </w:r>
      <w:r w:rsidR="004B1DFE">
        <w:t>a ředitele. V rámci tohoto jednání se uskutečnilo ustavující zasedání členů správní rady, které za předsedu tohoto orgánu zvolilo pana Pavla Rogaczewského</w:t>
      </w:r>
      <w:r w:rsidR="00F46354">
        <w:t xml:space="preserve"> a ředitelkou jmenovalo Ing. Ivu Šmrhovou mladší</w:t>
      </w:r>
      <w:r w:rsidR="004B1DFE">
        <w:t>.</w:t>
      </w:r>
      <w:r w:rsidR="006432CE">
        <w:t xml:space="preserve"> </w:t>
      </w:r>
    </w:p>
    <w:p w:rsidR="00EF59D8" w:rsidRDefault="00E95826">
      <w:r>
        <w:t>První přípravné kroky ke vzniku Evropského institutu asistivních technologií však byly činěny již v roce 2017. Byla připravována a mezi členy zakládajícího spolku e-Inkluze diskutována zakládací listina ústavu</w:t>
      </w:r>
      <w:r w:rsidR="009E5656">
        <w:t xml:space="preserve"> a na Úřad Karlovarského kraje byla podána žádost o schválení sídla ústavu, což je nezbytnou podmínkou jeho registrace. Rada Karlovarského kraje vyjádřila souhlas s umístěním sídla budoucího ústavu </w:t>
      </w:r>
      <w:r w:rsidR="00D25313">
        <w:t>s názvem Evropský institut asistivních technologií, z.ú., v nemovitosti na adrese Stará Kysibelská 602/45, 360 01 Karlovy Vary, jejímž vlastníkem je Karlovarský kraj a která je svěřená do správy Střední odborné škole stavební Karlovy Vary, příspěvková organizace, a to usnesením</w:t>
      </w:r>
      <w:r w:rsidR="00EF59D8">
        <w:t xml:space="preserve"> </w:t>
      </w:r>
      <w:r w:rsidR="00D25313">
        <w:t xml:space="preserve">č. RK 1195/09/17 </w:t>
      </w:r>
      <w:r w:rsidR="00EF59D8">
        <w:t xml:space="preserve">z 56. zasedání Rady ze dne 25.9.2017. </w:t>
      </w:r>
    </w:p>
    <w:p w:rsidR="00F45407" w:rsidRDefault="006432CE">
      <w:r>
        <w:t>Zakladatelské dokumenty byly podány na registrační soud v Plzni 16.3.2018</w:t>
      </w:r>
      <w:r w:rsidR="00EF59D8">
        <w:t xml:space="preserve"> a</w:t>
      </w:r>
      <w:r>
        <w:t xml:space="preserve"> </w:t>
      </w:r>
      <w:r w:rsidR="00EF59D8">
        <w:t>v</w:t>
      </w:r>
      <w:r>
        <w:t xml:space="preserve">znik ústavu </w:t>
      </w:r>
      <w:r w:rsidR="00F45407">
        <w:t xml:space="preserve">byl rozhodnutím tohoto registračního soudu </w:t>
      </w:r>
      <w:r>
        <w:t xml:space="preserve">potvrzen </w:t>
      </w:r>
      <w:r w:rsidR="009C3956">
        <w:t>28.4.</w:t>
      </w:r>
      <w:r w:rsidR="00C95B98">
        <w:t>2018.</w:t>
      </w:r>
      <w:r w:rsidR="002929E7">
        <w:t xml:space="preserve"> </w:t>
      </w:r>
    </w:p>
    <w:p w:rsidR="00C44724" w:rsidRDefault="00C44724">
      <w:r>
        <w:t xml:space="preserve">Po registraci Evropského institutu asistivních technologií bylo nutné provést několik základních </w:t>
      </w:r>
      <w:r w:rsidRPr="00C44724">
        <w:t>správní</w:t>
      </w:r>
      <w:r w:rsidR="006574A7">
        <w:t>ch</w:t>
      </w:r>
      <w:r w:rsidRPr="00C44724">
        <w:t xml:space="preserve"> úkon</w:t>
      </w:r>
      <w:r w:rsidR="006574A7">
        <w:t>ů</w:t>
      </w:r>
      <w:r w:rsidRPr="00C44724">
        <w:t xml:space="preserve">, jako je registrace provozovny, uzavření nájemní smlouvy, založení účtu atd. </w:t>
      </w:r>
      <w:r w:rsidR="006574A7">
        <w:t xml:space="preserve">Prostory </w:t>
      </w:r>
      <w:r w:rsidR="00347D85">
        <w:t xml:space="preserve">EIAT </w:t>
      </w:r>
      <w:r w:rsidR="006574A7">
        <w:t>převzal do užívání 27.6.2018</w:t>
      </w:r>
      <w:r w:rsidR="00347D85">
        <w:t xml:space="preserve"> a v</w:t>
      </w:r>
      <w:r w:rsidRPr="00C44724">
        <w:t xml:space="preserve">e své </w:t>
      </w:r>
      <w:r w:rsidR="00347D85">
        <w:t xml:space="preserve">další </w:t>
      </w:r>
      <w:r w:rsidRPr="00C44724">
        <w:t>činnosti se ve shodě se zakládací listinou soustřed</w:t>
      </w:r>
      <w:r w:rsidR="006574A7">
        <w:t>il</w:t>
      </w:r>
      <w:r w:rsidRPr="00C44724">
        <w:t xml:space="preserve"> na získání akreditací pro vzdělávací kurzy a uspořádání prvních vzdělávacích akcí pro podporu pedagogických pracovníků vzdělávajících žáky se speciálními vzdělávacími potřebami vzniklými z důvodu zdravot</w:t>
      </w:r>
      <w:r w:rsidR="006574A7">
        <w:t>ního postižení.</w:t>
      </w:r>
      <w:r w:rsidR="009614F7">
        <w:t xml:space="preserve"> V neposlední řadě bylo nutné soustředit se na získán</w:t>
      </w:r>
      <w:r w:rsidR="0082020C">
        <w:t>í finančních prostředků pro zajištění zmíněných akcí a dalšího provozu a rozvoje ústavu.</w:t>
      </w:r>
    </w:p>
    <w:p w:rsidR="006574A7" w:rsidRDefault="006574A7"/>
    <w:p w:rsidR="00C01C9D" w:rsidRDefault="00347D85" w:rsidP="0088345D">
      <w:pPr>
        <w:pStyle w:val="Nadpis2"/>
      </w:pPr>
      <w:bookmarkStart w:id="5" w:name="_Toc22809258"/>
      <w:r>
        <w:t>Akce pořádané EIAT v roce 2018</w:t>
      </w:r>
      <w:bookmarkEnd w:id="5"/>
    </w:p>
    <w:p w:rsidR="00C01C9D" w:rsidRDefault="00C01C9D" w:rsidP="00C01C9D"/>
    <w:p w:rsidR="00C01C9D" w:rsidRDefault="00C01C9D" w:rsidP="00C01C9D">
      <w:r>
        <w:t>EIAT zajistil odborný program pro workshop Kompenzační pomůcky pro děti se zrakovým, tělesným a kombinovaným postižením, který uspořádal Národní ústav vzdělávání, o.p.s. ve středu 31.10.2018 v aule Pedagogicko psychologické poradny pro Prahu 1, 2 a 4, Francouzská 56, Praha 2. Odborný program byl zaměřen na diskusi k podpoře využívání kompenzačních pomůcek a moderních asistivních technologií při vzdělávání žáků a studentů se speciálními vzdělávacími potřebami vzniklými z důvodu zrakového, tělesného nebo vícečetného zdravotního postižení.</w:t>
      </w:r>
    </w:p>
    <w:p w:rsidR="00C01C9D" w:rsidRDefault="00C01C9D" w:rsidP="00C01C9D"/>
    <w:p w:rsidR="00C01C9D" w:rsidRDefault="009614F7" w:rsidP="00C01C9D">
      <w:r>
        <w:t xml:space="preserve">Vlistopadu 2018 </w:t>
      </w:r>
      <w:r w:rsidR="00C01C9D">
        <w:t>Evropský institut asistivních technologií získal od Ministerstva práce a sociálních věcí akreditaci k realizaci vzdělávacího programu podle § 117a odst. 1 zákona 108/2006 Sb., o sociálních službách s názvem Úvod do problematiky využití asistivních technologií při poskytování sociálních služeb v rozsahu 8 hod. Zájemci mohou tento kurz objednávat na info@eiat.cz. Jsme oprávněni i schopni jej realizovat v prostorách objednatele.</w:t>
      </w:r>
    </w:p>
    <w:p w:rsidR="00C01C9D" w:rsidRDefault="00C01C9D" w:rsidP="00C01C9D"/>
    <w:p w:rsidR="00CD531A" w:rsidRDefault="0082020C" w:rsidP="0049516B">
      <w:r>
        <w:lastRenderedPageBreak/>
        <w:t xml:space="preserve">V podzimních měsících EIAT zajistil tisk </w:t>
      </w:r>
      <w:r w:rsidR="00FA1092">
        <w:t>publikace PhDr. Moniky Mužákové,</w:t>
      </w:r>
      <w:r w:rsidR="00851073">
        <w:t xml:space="preserve"> P</w:t>
      </w:r>
      <w:r w:rsidR="00FA1092">
        <w:t xml:space="preserve">h.D. a PhDr. Milana Pešáka </w:t>
      </w:r>
      <w:r w:rsidR="00063C66" w:rsidRPr="00063C66">
        <w:t>Svépomocné hnutí a vzdělávání nevidomých na počátku československého státu</w:t>
      </w:r>
      <w:r w:rsidR="0049516B">
        <w:t xml:space="preserve">. </w:t>
      </w:r>
      <w:r w:rsidR="0049516B" w:rsidRPr="0049516B">
        <w:t>Publikac</w:t>
      </w:r>
      <w:r w:rsidR="0049516B">
        <w:t>e</w:t>
      </w:r>
      <w:r w:rsidR="0049516B" w:rsidRPr="0049516B">
        <w:t xml:space="preserve"> </w:t>
      </w:r>
      <w:r w:rsidR="0049516B">
        <w:t xml:space="preserve">byla </w:t>
      </w:r>
      <w:r w:rsidR="0049516B" w:rsidRPr="0049516B">
        <w:t>vydá</w:t>
      </w:r>
      <w:r w:rsidR="0049516B">
        <w:t>na</w:t>
      </w:r>
      <w:r w:rsidR="0049516B" w:rsidRPr="0049516B">
        <w:t xml:space="preserve"> souběžně v Braillově bodovém písmu a černotisku tak, aby mohla sloužit jako cvičebnice či čítanka pro ty, kdo se učí číst Braillovo písmo později v životě. </w:t>
      </w:r>
      <w:r w:rsidR="0049516B">
        <w:t>Obsahově se t</w:t>
      </w:r>
      <w:r w:rsidR="0049516B" w:rsidRPr="0049516B">
        <w:t xml:space="preserve">ext knížky zaměřuje na osudy nevidomých lidí a svépomocných spolků, které založili s cílem pomáhat stejně postiženým spoluobčanům. </w:t>
      </w:r>
      <w:r w:rsidR="00636C24">
        <w:t>I toto obsahové zaměření by m</w:t>
      </w:r>
      <w:r w:rsidR="00CD531A">
        <w:t xml:space="preserve">ělo </w:t>
      </w:r>
      <w:r w:rsidR="00636C24">
        <w:t xml:space="preserve">těžce zrakově postižené </w:t>
      </w:r>
      <w:r w:rsidR="0049516B" w:rsidRPr="0049516B">
        <w:t xml:space="preserve">čtenáře </w:t>
      </w:r>
      <w:r w:rsidR="00636C24" w:rsidRPr="0049516B">
        <w:t xml:space="preserve">motivovat </w:t>
      </w:r>
      <w:r w:rsidR="0049516B" w:rsidRPr="0049516B">
        <w:t xml:space="preserve">k překonávání omezení, která ztráta </w:t>
      </w:r>
      <w:r w:rsidR="00636C24">
        <w:t xml:space="preserve">či vážné poškození </w:t>
      </w:r>
      <w:r w:rsidR="0049516B" w:rsidRPr="0049516B">
        <w:t xml:space="preserve">zraku s sebou zákonitě a logicky nese. </w:t>
      </w:r>
    </w:p>
    <w:p w:rsidR="0049516B" w:rsidRDefault="0049516B" w:rsidP="00C01C9D"/>
    <w:p w:rsidR="00251472" w:rsidRDefault="00251472" w:rsidP="0088345D">
      <w:pPr>
        <w:pStyle w:val="Nadpis2"/>
      </w:pPr>
      <w:bookmarkStart w:id="6" w:name="_Toc22809259"/>
      <w:r>
        <w:t>Zaměstnanci EIAT v roce 2018</w:t>
      </w:r>
      <w:bookmarkEnd w:id="6"/>
    </w:p>
    <w:p w:rsidR="00251472" w:rsidRDefault="00251472" w:rsidP="00C01C9D"/>
    <w:p w:rsidR="00251472" w:rsidRDefault="00251472" w:rsidP="00C01C9D">
      <w:r>
        <w:t>V</w:t>
      </w:r>
      <w:r w:rsidR="0088345D">
        <w:t>zhledem k tomu, že v</w:t>
      </w:r>
      <w:r>
        <w:t xml:space="preserve"> roce 2018 </w:t>
      </w:r>
      <w:proofErr w:type="spellStart"/>
      <w:r>
        <w:t>EIAT</w:t>
      </w:r>
      <w:proofErr w:type="spellEnd"/>
      <w:r>
        <w:t xml:space="preserve"> neměl </w:t>
      </w:r>
      <w:r w:rsidR="0088345D">
        <w:t xml:space="preserve">zajištěné stabilní zdroje příjmů, neměl ani </w:t>
      </w:r>
      <w:r>
        <w:t>žádné stálé pracovníky. Aktivity byly realizovány buď pracovníky odměňovanými formou DPP, nebo na bázi dobrovolnosti. Formou DPP byla za svou práci odměněna účetní.</w:t>
      </w:r>
      <w:r w:rsidR="0088345D">
        <w:t xml:space="preserve"> Ostatní včetně ředitelky, lektorů atd. </w:t>
      </w:r>
      <w:r w:rsidR="00F80646">
        <w:t>pomáhali ústavu jako dobrovolníci.</w:t>
      </w:r>
    </w:p>
    <w:p w:rsidR="00F80646" w:rsidRDefault="00F80646" w:rsidP="00C01C9D"/>
    <w:p w:rsidR="00D1732D" w:rsidRDefault="00D1732D" w:rsidP="00C01C9D"/>
    <w:p w:rsidR="00D1732D" w:rsidRDefault="00D1732D" w:rsidP="00F80646">
      <w:pPr>
        <w:pStyle w:val="Nadpis2"/>
      </w:pPr>
      <w:bookmarkStart w:id="7" w:name="_Toc22809260"/>
      <w:r>
        <w:t>Změny zakládací listiny a orgánů společnosti</w:t>
      </w:r>
      <w:bookmarkEnd w:id="7"/>
    </w:p>
    <w:p w:rsidR="00D1732D" w:rsidRDefault="00D1732D" w:rsidP="00C01C9D"/>
    <w:p w:rsidR="00D1732D" w:rsidRDefault="00F2337A" w:rsidP="00C01C9D">
      <w:r>
        <w:t>V roce 2018 nedošlo ke změnám zakládací listiny ani orgánů ústavu. Orgány EIAT, z.ú. v roce 2018 pracovaly ve složení:</w:t>
      </w:r>
    </w:p>
    <w:p w:rsidR="00D1732D" w:rsidRDefault="00D1732D" w:rsidP="00C01C9D"/>
    <w:p w:rsidR="00430331" w:rsidRDefault="00430331" w:rsidP="00430331">
      <w:pPr>
        <w:numPr>
          <w:ilvl w:val="0"/>
          <w:numId w:val="6"/>
        </w:numPr>
      </w:pPr>
      <w:r>
        <w:t>Ředitel:</w:t>
      </w:r>
    </w:p>
    <w:p w:rsidR="00430331" w:rsidRDefault="00430331" w:rsidP="009E3F5B">
      <w:pPr>
        <w:numPr>
          <w:ilvl w:val="0"/>
          <w:numId w:val="7"/>
        </w:numPr>
        <w:ind w:left="1068"/>
      </w:pPr>
      <w:r w:rsidRPr="00430331">
        <w:t>Ing. Iva Šmrhová (m</w:t>
      </w:r>
      <w:r>
        <w:t>l</w:t>
      </w:r>
      <w:r w:rsidRPr="00430331">
        <w:t xml:space="preserve">.), r.č.: 855823/2188, trvale bytem: Příční 90, 332 02 Starý </w:t>
      </w:r>
      <w:r w:rsidR="00290113" w:rsidRPr="00430331">
        <w:t>Plzenec – Sedlec</w:t>
      </w:r>
    </w:p>
    <w:p w:rsidR="00430331" w:rsidRDefault="00430331" w:rsidP="00C01C9D"/>
    <w:p w:rsidR="00F2337A" w:rsidRDefault="00F2337A" w:rsidP="0060214D">
      <w:pPr>
        <w:numPr>
          <w:ilvl w:val="0"/>
          <w:numId w:val="6"/>
        </w:numPr>
      </w:pPr>
      <w:r>
        <w:t>Správní rada:</w:t>
      </w:r>
    </w:p>
    <w:p w:rsidR="0060214D" w:rsidRDefault="0060214D" w:rsidP="009E3F5B">
      <w:pPr>
        <w:numPr>
          <w:ilvl w:val="0"/>
          <w:numId w:val="7"/>
        </w:numPr>
        <w:ind w:left="1068"/>
      </w:pPr>
      <w:r>
        <w:t xml:space="preserve">Pavel </w:t>
      </w:r>
      <w:proofErr w:type="spellStart"/>
      <w:r>
        <w:t>Rogaczewski</w:t>
      </w:r>
      <w:proofErr w:type="spellEnd"/>
      <w:r>
        <w:t xml:space="preserve">, </w:t>
      </w:r>
      <w:proofErr w:type="spellStart"/>
      <w:r>
        <w:t>r.č</w:t>
      </w:r>
      <w:proofErr w:type="spellEnd"/>
      <w:r>
        <w:t xml:space="preserve">.: 510907/352, trvale bytem: S. K. Neumanna 980, 363 01 Ostrov, </w:t>
      </w:r>
    </w:p>
    <w:p w:rsidR="0060214D" w:rsidRDefault="0060214D" w:rsidP="009E3F5B">
      <w:pPr>
        <w:numPr>
          <w:ilvl w:val="0"/>
          <w:numId w:val="7"/>
        </w:numPr>
        <w:ind w:left="1068"/>
      </w:pPr>
      <w:r>
        <w:t xml:space="preserve">Doc. PhDr. Lea Květoňová PhD., r.č.: 636003/6947, trvale bytem: Konšelská 419/23, Libeň, 180 00 Praha 8 </w:t>
      </w:r>
    </w:p>
    <w:p w:rsidR="0060214D" w:rsidRDefault="0060214D" w:rsidP="009E3F5B">
      <w:pPr>
        <w:numPr>
          <w:ilvl w:val="0"/>
          <w:numId w:val="7"/>
        </w:numPr>
        <w:ind w:left="1068"/>
      </w:pPr>
      <w:r>
        <w:t xml:space="preserve">Ing. Iva Šmrhová, r.č.: 605504/0728, trvale bytem: Příční 90, 332 02 Starý </w:t>
      </w:r>
      <w:r w:rsidR="00290113">
        <w:t>Plzenec – Sedlec</w:t>
      </w:r>
      <w:r>
        <w:t xml:space="preserve"> </w:t>
      </w:r>
    </w:p>
    <w:p w:rsidR="0060214D" w:rsidRDefault="0060214D" w:rsidP="0060214D">
      <w:r>
        <w:t xml:space="preserve"> </w:t>
      </w:r>
    </w:p>
    <w:p w:rsidR="0060214D" w:rsidRDefault="0060214D" w:rsidP="0060214D">
      <w:pPr>
        <w:numPr>
          <w:ilvl w:val="0"/>
          <w:numId w:val="6"/>
        </w:numPr>
      </w:pPr>
      <w:r>
        <w:t>Revizor</w:t>
      </w:r>
      <w:r w:rsidR="00430331">
        <w:t>:</w:t>
      </w:r>
    </w:p>
    <w:p w:rsidR="00F2337A" w:rsidRDefault="0060214D" w:rsidP="009E3F5B">
      <w:pPr>
        <w:numPr>
          <w:ilvl w:val="0"/>
          <w:numId w:val="7"/>
        </w:numPr>
        <w:ind w:left="1068"/>
      </w:pPr>
      <w:r>
        <w:lastRenderedPageBreak/>
        <w:t>Mgr. Dagmar Balcarová, r.č.: 675929/0461, trvale bytem: Čsl. Legií 234, 503 46 Třebechovice pod Orebem</w:t>
      </w:r>
    </w:p>
    <w:p w:rsidR="00430331" w:rsidRDefault="00430331" w:rsidP="0060214D"/>
    <w:p w:rsidR="00F80646" w:rsidRDefault="00F80646" w:rsidP="0060214D"/>
    <w:p w:rsidR="007B2D3A" w:rsidRDefault="007B2D3A" w:rsidP="00F80646">
      <w:pPr>
        <w:pStyle w:val="Nadpis2"/>
      </w:pPr>
      <w:bookmarkStart w:id="8" w:name="_Toc22809261"/>
      <w:r>
        <w:t>Zpráva o hospodaření</w:t>
      </w:r>
      <w:bookmarkEnd w:id="8"/>
    </w:p>
    <w:p w:rsidR="007B2D3A" w:rsidRDefault="007B2D3A" w:rsidP="007B2D3A">
      <w:pPr>
        <w:tabs>
          <w:tab w:val="left" w:pos="2835"/>
        </w:tabs>
      </w:pPr>
    </w:p>
    <w:p w:rsidR="00D75995" w:rsidRDefault="00041416" w:rsidP="002512DB">
      <w:pPr>
        <w:tabs>
          <w:tab w:val="left" w:pos="2835"/>
        </w:tabs>
      </w:pPr>
      <w:r>
        <w:t>V hospodaření EIAT, z.ú. se v roce 2018 nevyskytly žádné mimořádné události. V souladu se zakládací listinou ústavu, obecně platnými právními předpisy a dobrými zvyklostmi</w:t>
      </w:r>
      <w:r w:rsidR="00621224">
        <w:t xml:space="preserve"> </w:t>
      </w:r>
      <w:r>
        <w:t xml:space="preserve">bylo účetnictví EIAT, z.ú. za rok 2018 podrobeno </w:t>
      </w:r>
      <w:r w:rsidR="002512DB">
        <w:t>kontrole revizora, přičemž nebyly shledány žádné nedostatky.</w:t>
      </w:r>
    </w:p>
    <w:p w:rsidR="00D75995" w:rsidRDefault="00D75995" w:rsidP="002512DB">
      <w:pPr>
        <w:tabs>
          <w:tab w:val="left" w:pos="2835"/>
        </w:tabs>
      </w:pPr>
    </w:p>
    <w:p w:rsidR="00041416" w:rsidRDefault="00D75995" w:rsidP="002512DB">
      <w:pPr>
        <w:tabs>
          <w:tab w:val="left" w:pos="2835"/>
        </w:tabs>
      </w:pPr>
      <w:r>
        <w:t>V</w:t>
      </w:r>
      <w:r w:rsidR="00041416">
        <w:t xml:space="preserve"> uvedeném roce </w:t>
      </w:r>
      <w:r w:rsidR="002512DB">
        <w:t xml:space="preserve">ústav </w:t>
      </w:r>
      <w:r w:rsidR="00041416">
        <w:t>n</w:t>
      </w:r>
      <w:r>
        <w:t>eprovozoval doplňkovou činnost a nečerpal žádné dotace ani granty.</w:t>
      </w:r>
      <w:r w:rsidR="0062510D">
        <w:t xml:space="preserve"> Stejně tak nebyly tvořeny žádné fondy.</w:t>
      </w:r>
    </w:p>
    <w:p w:rsidR="00D75995" w:rsidRDefault="00D75995" w:rsidP="002512DB">
      <w:pPr>
        <w:tabs>
          <w:tab w:val="left" w:pos="2835"/>
        </w:tabs>
      </w:pPr>
    </w:p>
    <w:p w:rsidR="002512DB" w:rsidRDefault="00041416" w:rsidP="00041416">
      <w:pPr>
        <w:tabs>
          <w:tab w:val="left" w:pos="2835"/>
        </w:tabs>
      </w:pPr>
      <w:r>
        <w:t>Ekonomické výsledky organizace jsou uvedeny v</w:t>
      </w:r>
      <w:r w:rsidR="0062510D">
        <w:t xml:space="preserve"> účetní závěrce, která tvoří přílohy </w:t>
      </w:r>
      <w:r w:rsidR="002512DB">
        <w:t>této zprávy.</w:t>
      </w:r>
    </w:p>
    <w:p w:rsidR="00F23D02" w:rsidRDefault="00F23D02" w:rsidP="007B2D3A">
      <w:pPr>
        <w:tabs>
          <w:tab w:val="left" w:pos="2835"/>
        </w:tabs>
      </w:pPr>
    </w:p>
    <w:p w:rsidR="007B2D3A" w:rsidRDefault="007B2D3A" w:rsidP="007B2D3A">
      <w:pPr>
        <w:tabs>
          <w:tab w:val="left" w:pos="2835"/>
        </w:tabs>
      </w:pPr>
    </w:p>
    <w:p w:rsidR="007D79D7" w:rsidRDefault="007D79D7" w:rsidP="007B2D3A">
      <w:pPr>
        <w:tabs>
          <w:tab w:val="left" w:pos="2835"/>
        </w:tabs>
      </w:pPr>
    </w:p>
    <w:p w:rsidR="00C0590B" w:rsidRDefault="00C0590B">
      <w:pPr>
        <w:spacing w:after="160" w:line="259" w:lineRule="auto"/>
        <w:jc w:val="left"/>
        <w:rPr>
          <w:rFonts w:ascii="Cambria" w:hAnsi="Cambria"/>
          <w:b/>
          <w:bCs/>
          <w:color w:val="0070C0"/>
        </w:rPr>
      </w:pPr>
      <w:r>
        <w:br w:type="page"/>
      </w:r>
    </w:p>
    <w:p w:rsidR="00F23D02" w:rsidRDefault="00F23D02" w:rsidP="00B7333F">
      <w:pPr>
        <w:pStyle w:val="Nadpis3"/>
      </w:pPr>
      <w:bookmarkStart w:id="9" w:name="_Toc22809262"/>
      <w:r>
        <w:lastRenderedPageBreak/>
        <w:t>Přílohy</w:t>
      </w:r>
      <w:bookmarkEnd w:id="9"/>
    </w:p>
    <w:p w:rsidR="00F23D02" w:rsidRDefault="00F23D02" w:rsidP="00F23D02"/>
    <w:p w:rsidR="00F23D02" w:rsidRPr="004E44E3" w:rsidRDefault="00003BE2" w:rsidP="00F80646">
      <w:pPr>
        <w:pStyle w:val="Nadpis3"/>
        <w:numPr>
          <w:ilvl w:val="0"/>
          <w:numId w:val="14"/>
        </w:numPr>
        <w:rPr>
          <w:color w:val="auto"/>
        </w:rPr>
      </w:pPr>
      <w:bookmarkStart w:id="10" w:name="_Toc22809263"/>
      <w:r>
        <w:rPr>
          <w:color w:val="auto"/>
        </w:rPr>
        <w:t>Rozvaha</w:t>
      </w:r>
      <w:bookmarkEnd w:id="10"/>
    </w:p>
    <w:p w:rsidR="00317306" w:rsidRPr="004E44E3" w:rsidRDefault="00C0590B" w:rsidP="00F23D02">
      <w:r>
        <w:rPr>
          <w:noProof/>
        </w:rPr>
        <w:drawing>
          <wp:inline distT="0" distB="0" distL="0" distR="0" wp14:anchorId="42D76877" wp14:editId="5E8141F4">
            <wp:extent cx="5763863" cy="6629400"/>
            <wp:effectExtent l="0" t="0" r="889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1039"/>
                    <a:stretch/>
                  </pic:blipFill>
                  <pic:spPr bwMode="auto">
                    <a:xfrm>
                      <a:off x="0" y="0"/>
                      <a:ext cx="5760720" cy="662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D02" w:rsidRPr="004E44E3" w:rsidRDefault="00003BE2" w:rsidP="00F80646">
      <w:pPr>
        <w:pStyle w:val="Nadpis3"/>
        <w:numPr>
          <w:ilvl w:val="0"/>
          <w:numId w:val="14"/>
        </w:numPr>
        <w:rPr>
          <w:color w:val="auto"/>
        </w:rPr>
      </w:pPr>
      <w:bookmarkStart w:id="11" w:name="_Toc22809264"/>
      <w:r>
        <w:rPr>
          <w:color w:val="auto"/>
        </w:rPr>
        <w:lastRenderedPageBreak/>
        <w:t>Výkaz zisku a ztráty</w:t>
      </w:r>
      <w:bookmarkEnd w:id="11"/>
    </w:p>
    <w:p w:rsidR="00317306" w:rsidRPr="004E44E3" w:rsidRDefault="00C0590B" w:rsidP="00F23D02">
      <w:r>
        <w:rPr>
          <w:noProof/>
        </w:rPr>
        <w:drawing>
          <wp:inline distT="0" distB="0" distL="0" distR="0" wp14:anchorId="769FEB8B" wp14:editId="6F679BD7">
            <wp:extent cx="5763172" cy="6281531"/>
            <wp:effectExtent l="0" t="0" r="9525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1404"/>
                    <a:stretch/>
                  </pic:blipFill>
                  <pic:spPr bwMode="auto">
                    <a:xfrm>
                      <a:off x="0" y="0"/>
                      <a:ext cx="5760720" cy="6278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D3A" w:rsidRDefault="00F23D02" w:rsidP="00F80646">
      <w:pPr>
        <w:pStyle w:val="Nadpis3"/>
        <w:numPr>
          <w:ilvl w:val="0"/>
          <w:numId w:val="14"/>
        </w:numPr>
        <w:rPr>
          <w:color w:val="auto"/>
        </w:rPr>
      </w:pPr>
      <w:bookmarkStart w:id="12" w:name="_Toc22809265"/>
      <w:r w:rsidRPr="004E44E3">
        <w:rPr>
          <w:color w:val="auto"/>
        </w:rPr>
        <w:lastRenderedPageBreak/>
        <w:t xml:space="preserve">Příloha </w:t>
      </w:r>
      <w:r w:rsidR="00D75995" w:rsidRPr="004E44E3">
        <w:rPr>
          <w:color w:val="auto"/>
        </w:rPr>
        <w:t>v</w:t>
      </w:r>
      <w:r w:rsidRPr="004E44E3">
        <w:rPr>
          <w:color w:val="auto"/>
        </w:rPr>
        <w:t xml:space="preserve"> účetní závěrce</w:t>
      </w:r>
      <w:bookmarkEnd w:id="12"/>
    </w:p>
    <w:p w:rsidR="00C0590B" w:rsidRDefault="00C0590B" w:rsidP="00C0590B">
      <w:pPr>
        <w:rPr>
          <w:noProof/>
        </w:rPr>
      </w:pPr>
      <w:r>
        <w:rPr>
          <w:noProof/>
        </w:rPr>
        <w:drawing>
          <wp:inline distT="0" distB="0" distL="0" distR="0" wp14:anchorId="667DAF83" wp14:editId="53A0FB32">
            <wp:extent cx="5763201" cy="7076661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835"/>
                    <a:stretch/>
                  </pic:blipFill>
                  <pic:spPr bwMode="auto">
                    <a:xfrm>
                      <a:off x="0" y="0"/>
                      <a:ext cx="5760720" cy="7073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90B" w:rsidRPr="00C0590B" w:rsidRDefault="00C0590B" w:rsidP="00C0590B">
      <w:r w:rsidRPr="00C0590B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0A541A83" wp14:editId="7FD7E2AE">
            <wp:extent cx="5758581" cy="703690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/>
                    <a:stretch/>
                  </pic:blipFill>
                  <pic:spPr bwMode="auto">
                    <a:xfrm>
                      <a:off x="0" y="0"/>
                      <a:ext cx="5760720" cy="703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14F7" w:rsidRDefault="009614F7" w:rsidP="00C01C9D"/>
    <w:p w:rsidR="007B2D3A" w:rsidRDefault="007B2D3A" w:rsidP="00C01C9D"/>
    <w:p w:rsidR="007B2D3A" w:rsidRDefault="007B2D3A" w:rsidP="00C01C9D"/>
    <w:p w:rsidR="00B7333F" w:rsidRDefault="00B7333F" w:rsidP="00C01C9D"/>
    <w:sectPr w:rsidR="00B7333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942" w:rsidRDefault="00B31942" w:rsidP="00AD0C53">
      <w:pPr>
        <w:spacing w:after="0" w:line="240" w:lineRule="auto"/>
      </w:pPr>
      <w:r>
        <w:separator/>
      </w:r>
    </w:p>
  </w:endnote>
  <w:endnote w:type="continuationSeparator" w:id="0">
    <w:p w:rsidR="00B31942" w:rsidRDefault="00B31942" w:rsidP="00AD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10D" w:rsidRDefault="006251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10D" w:rsidRDefault="0062510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10D" w:rsidRDefault="006251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942" w:rsidRDefault="00B31942" w:rsidP="00AD0C53">
      <w:pPr>
        <w:spacing w:after="0" w:line="240" w:lineRule="auto"/>
      </w:pPr>
      <w:r>
        <w:separator/>
      </w:r>
    </w:p>
  </w:footnote>
  <w:footnote w:type="continuationSeparator" w:id="0">
    <w:p w:rsidR="00B31942" w:rsidRDefault="00B31942" w:rsidP="00AD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10D" w:rsidRDefault="006251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10D" w:rsidRDefault="0062510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10D" w:rsidRDefault="006251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A06"/>
    <w:multiLevelType w:val="hybridMultilevel"/>
    <w:tmpl w:val="04769D20"/>
    <w:lvl w:ilvl="0" w:tplc="04050017">
      <w:start w:val="1"/>
      <w:numFmt w:val="lowerLetter"/>
      <w:lvlText w:val="%1)"/>
      <w:lvlJc w:val="left"/>
      <w:pPr>
        <w:ind w:left="708" w:hanging="360"/>
      </w:p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07B32049"/>
    <w:multiLevelType w:val="hybridMultilevel"/>
    <w:tmpl w:val="FE50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B71B5"/>
    <w:multiLevelType w:val="hybridMultilevel"/>
    <w:tmpl w:val="1A14F43A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05B5853"/>
    <w:multiLevelType w:val="hybridMultilevel"/>
    <w:tmpl w:val="726E5D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A4889"/>
    <w:multiLevelType w:val="hybridMultilevel"/>
    <w:tmpl w:val="D14A83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76BEF"/>
    <w:multiLevelType w:val="hybridMultilevel"/>
    <w:tmpl w:val="616AAF8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756BF"/>
    <w:multiLevelType w:val="hybridMultilevel"/>
    <w:tmpl w:val="2A8C8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01BBE"/>
    <w:multiLevelType w:val="multilevel"/>
    <w:tmpl w:val="133AD6B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C53"/>
    <w:rsid w:val="000007D0"/>
    <w:rsid w:val="00003BE2"/>
    <w:rsid w:val="00041416"/>
    <w:rsid w:val="00063C66"/>
    <w:rsid w:val="000A3CFE"/>
    <w:rsid w:val="000E51B6"/>
    <w:rsid w:val="001E5D65"/>
    <w:rsid w:val="001F32DE"/>
    <w:rsid w:val="002502C9"/>
    <w:rsid w:val="002512DB"/>
    <w:rsid w:val="00251472"/>
    <w:rsid w:val="00277EF5"/>
    <w:rsid w:val="00290113"/>
    <w:rsid w:val="002929E7"/>
    <w:rsid w:val="00292F5D"/>
    <w:rsid w:val="002D3E55"/>
    <w:rsid w:val="003139D4"/>
    <w:rsid w:val="00317306"/>
    <w:rsid w:val="00324F76"/>
    <w:rsid w:val="00347D85"/>
    <w:rsid w:val="0039542B"/>
    <w:rsid w:val="00430331"/>
    <w:rsid w:val="00437872"/>
    <w:rsid w:val="004471C8"/>
    <w:rsid w:val="0049516B"/>
    <w:rsid w:val="004B1DFE"/>
    <w:rsid w:val="004E44E3"/>
    <w:rsid w:val="00565179"/>
    <w:rsid w:val="00574645"/>
    <w:rsid w:val="0059553A"/>
    <w:rsid w:val="005B1539"/>
    <w:rsid w:val="005F7B9B"/>
    <w:rsid w:val="0060214D"/>
    <w:rsid w:val="00621224"/>
    <w:rsid w:val="006234E9"/>
    <w:rsid w:val="0062510D"/>
    <w:rsid w:val="006331BD"/>
    <w:rsid w:val="00636C24"/>
    <w:rsid w:val="006432CE"/>
    <w:rsid w:val="006574A7"/>
    <w:rsid w:val="00677429"/>
    <w:rsid w:val="006D3A1A"/>
    <w:rsid w:val="00722743"/>
    <w:rsid w:val="0077526A"/>
    <w:rsid w:val="007B2D3A"/>
    <w:rsid w:val="007D79D7"/>
    <w:rsid w:val="007F01EE"/>
    <w:rsid w:val="00812163"/>
    <w:rsid w:val="0082020C"/>
    <w:rsid w:val="00851073"/>
    <w:rsid w:val="00880C87"/>
    <w:rsid w:val="0088345D"/>
    <w:rsid w:val="009614F7"/>
    <w:rsid w:val="00972F08"/>
    <w:rsid w:val="009C3956"/>
    <w:rsid w:val="009C747C"/>
    <w:rsid w:val="009E3F5B"/>
    <w:rsid w:val="009E5656"/>
    <w:rsid w:val="00A34109"/>
    <w:rsid w:val="00AD0C53"/>
    <w:rsid w:val="00B31942"/>
    <w:rsid w:val="00B7333F"/>
    <w:rsid w:val="00B9429E"/>
    <w:rsid w:val="00BA0269"/>
    <w:rsid w:val="00BF3144"/>
    <w:rsid w:val="00C01C9D"/>
    <w:rsid w:val="00C0590B"/>
    <w:rsid w:val="00C44724"/>
    <w:rsid w:val="00C52275"/>
    <w:rsid w:val="00C62839"/>
    <w:rsid w:val="00C95B98"/>
    <w:rsid w:val="00CA01D6"/>
    <w:rsid w:val="00CD531A"/>
    <w:rsid w:val="00D1732D"/>
    <w:rsid w:val="00D25313"/>
    <w:rsid w:val="00D67A01"/>
    <w:rsid w:val="00D75995"/>
    <w:rsid w:val="00DA2FC3"/>
    <w:rsid w:val="00DD3EE4"/>
    <w:rsid w:val="00E41AD6"/>
    <w:rsid w:val="00E8732D"/>
    <w:rsid w:val="00E95826"/>
    <w:rsid w:val="00EB45F0"/>
    <w:rsid w:val="00EF59D8"/>
    <w:rsid w:val="00F2337A"/>
    <w:rsid w:val="00F23D02"/>
    <w:rsid w:val="00F45407"/>
    <w:rsid w:val="00F46354"/>
    <w:rsid w:val="00F61B81"/>
    <w:rsid w:val="00F70F2C"/>
    <w:rsid w:val="00F737D1"/>
    <w:rsid w:val="00F80646"/>
    <w:rsid w:val="00F9221D"/>
    <w:rsid w:val="00FA1092"/>
    <w:rsid w:val="00FB354E"/>
    <w:rsid w:val="00FC4BBD"/>
    <w:rsid w:val="00FE27CB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4573"/>
  <w15:docId w15:val="{0CD9C927-7CC2-4DB8-86CB-93A556F2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D3A1A"/>
    <w:pPr>
      <w:spacing w:after="200" w:line="276" w:lineRule="auto"/>
      <w:jc w:val="both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A0269"/>
    <w:pPr>
      <w:keepNext/>
      <w:keepLines/>
      <w:numPr>
        <w:numId w:val="1"/>
      </w:numPr>
      <w:spacing w:before="480" w:after="100" w:afterAutospacing="1"/>
      <w:outlineLvl w:val="0"/>
    </w:pPr>
    <w:rPr>
      <w:rFonts w:ascii="Cambria" w:hAnsi="Cambria"/>
      <w:b/>
      <w:bCs/>
      <w:color w:val="00206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0269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1F497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A0269"/>
    <w:pPr>
      <w:keepNext/>
      <w:keepLines/>
      <w:spacing w:before="200" w:after="0"/>
      <w:outlineLvl w:val="2"/>
    </w:pPr>
    <w:rPr>
      <w:rFonts w:ascii="Cambria" w:hAnsi="Cambria"/>
      <w:b/>
      <w:bCs/>
      <w:color w:val="0070C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0269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A026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A026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A026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A026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A026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0C53"/>
  </w:style>
  <w:style w:type="paragraph" w:styleId="Zpat">
    <w:name w:val="footer"/>
    <w:basedOn w:val="Normln"/>
    <w:link w:val="ZpatChar"/>
    <w:uiPriority w:val="99"/>
    <w:unhideWhenUsed/>
    <w:rsid w:val="00AD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C53"/>
  </w:style>
  <w:style w:type="paragraph" w:styleId="Nzev">
    <w:name w:val="Title"/>
    <w:basedOn w:val="Normln"/>
    <w:next w:val="Normln"/>
    <w:link w:val="NzevChar"/>
    <w:uiPriority w:val="10"/>
    <w:qFormat/>
    <w:rsid w:val="006D3A1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D3A1A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A0269"/>
    <w:rPr>
      <w:rFonts w:ascii="Cambria" w:eastAsia="Times New Roman" w:hAnsi="Cambria" w:cs="Times New Roman"/>
      <w:b/>
      <w:bCs/>
      <w:color w:val="00206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A0269"/>
    <w:rPr>
      <w:rFonts w:ascii="Cambria" w:eastAsia="Times New Roman" w:hAnsi="Cambria" w:cs="Times New Roman"/>
      <w:b/>
      <w:bCs/>
      <w:color w:val="1F497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0269"/>
    <w:rPr>
      <w:rFonts w:ascii="Cambria" w:eastAsia="Times New Roman" w:hAnsi="Cambria" w:cs="Times New Roman"/>
      <w:b/>
      <w:bCs/>
      <w:color w:val="0070C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A0269"/>
    <w:rPr>
      <w:rFonts w:ascii="Cambria" w:eastAsia="Times New Roman" w:hAnsi="Cambria" w:cs="Times New Roman"/>
      <w:b/>
      <w:bCs/>
      <w:i/>
      <w:iCs/>
      <w:color w:val="2DA2B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A0269"/>
    <w:rPr>
      <w:rFonts w:ascii="Cambria" w:eastAsia="Times New Roman" w:hAnsi="Cambria" w:cs="Times New Roman"/>
      <w:color w:val="16505E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A0269"/>
    <w:rPr>
      <w:rFonts w:ascii="Cambria" w:eastAsia="Times New Roman" w:hAnsi="Cambria" w:cs="Times New Roman"/>
      <w:i/>
      <w:iCs/>
      <w:color w:val="16505E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A0269"/>
    <w:rPr>
      <w:rFonts w:ascii="Cambria" w:eastAsia="Times New Roman" w:hAnsi="Cambria" w:cs="Times New Roman"/>
      <w:i/>
      <w:iCs/>
      <w:color w:val="40404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A0269"/>
    <w:rPr>
      <w:rFonts w:ascii="Cambria" w:eastAsia="Times New Roman" w:hAnsi="Cambria" w:cs="Times New Roman"/>
      <w:color w:val="2DA2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A0269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A3CF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A3CF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99"/>
    <w:unhideWhenUsed/>
    <w:qFormat/>
    <w:rsid w:val="00FF424D"/>
    <w:pPr>
      <w:ind w:left="720"/>
      <w:contextualSpacing/>
      <w:jc w:val="left"/>
    </w:pPr>
    <w:rPr>
      <w:rFonts w:asciiTheme="minorHAnsi" w:eastAsiaTheme="minorEastAsia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90B"/>
    <w:rPr>
      <w:rFonts w:ascii="Tahoma" w:eastAsia="Times New Roman" w:hAnsi="Tahoma" w:cs="Tahoma"/>
      <w:sz w:val="16"/>
      <w:szCs w:val="16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574645"/>
    <w:pPr>
      <w:numPr>
        <w:numId w:val="0"/>
      </w:numPr>
      <w:spacing w:before="24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57464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7464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eiat.cz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709D7-BB7B-4F41-A299-679DEBDF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1502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Pešák</dc:creator>
  <cp:lastModifiedBy>Milan Pešák</cp:lastModifiedBy>
  <cp:revision>6</cp:revision>
  <dcterms:created xsi:type="dcterms:W3CDTF">2019-10-23T11:35:00Z</dcterms:created>
  <dcterms:modified xsi:type="dcterms:W3CDTF">2019-10-24T09:35:00Z</dcterms:modified>
</cp:coreProperties>
</file>